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Order Schedule 4 (Order Tender) 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Guidance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for Buyers: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If the Supplier’s bid has additional detail that you would like included in the contract, insert the Supplier’s bid here.]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Order Tender Here]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3">
      <w:pPr>
        <w:tabs>
          <w:tab w:val="left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984"/>
        </w:tabs>
        <w:rPr>
          <w:rFonts w:ascii="Arial" w:cs="Arial" w:eastAsia="Arial" w:hAnsi="Arial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tabs>
        <w:tab w:val="center" w:pos="4513"/>
        <w:tab w:val="right" w:pos="9026"/>
      </w:tabs>
      <w:spacing w:after="0" w:lineRule="auto"/>
      <w:rPr>
        <w:color w:val="a6a6a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DPS Ref: RM6219 Learning and Training</w:t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left" w:pos="2731"/>
      </w:tabs>
      <w:spacing w:after="0" w:line="240" w:lineRule="auto"/>
      <w:jc w:val="both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Model Version: v1.0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Order Schedule 4 (Order Tender)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Order Ref:</w:t>
    </w:r>
  </w:p>
  <w:p w:rsidR="00000000" w:rsidDel="00000000" w:rsidP="00000000" w:rsidRDefault="00000000" w:rsidRPr="00000000" w14:paraId="0000001A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2021</w:t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SIPUNwBNOgahol5DWuoHSERNlQ==">AMUW2mXHTBeJ3WUf9TZetWdlXk+AzZnmUQNIlwqIg1RiC0VEyLbM0atICs3o490xku0PANyoG4pfbF9DKlqaM7NEmoshq8gWCMX2MvUI+qASASdPo8g9Kx8REOcuT/8aBPqC1qd1z4lWpZAdcL/bVaGCLL6hix4oHw==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2019-04-10T23:27:00Z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